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FE2FBC" w:rsidRDefault="005739C6" w:rsidP="00FE2FBC">
      <w:pPr>
        <w:spacing w:after="0" w:line="360" w:lineRule="auto"/>
        <w:jc w:val="both"/>
        <w:rPr>
          <w:rFonts w:ascii="Arial" w:hAnsi="Arial" w:cs="Arial"/>
          <w:b/>
          <w:bCs/>
          <w:u w:val="single"/>
        </w:rPr>
      </w:pPr>
      <w:r w:rsidRPr="00FE2FBC">
        <w:rPr>
          <w:rFonts w:ascii="Arial" w:hAnsi="Arial" w:cs="Arial"/>
          <w:b/>
          <w:bCs/>
          <w:u w:val="single"/>
        </w:rPr>
        <w:t xml:space="preserve">Nombre del área: </w:t>
      </w:r>
    </w:p>
    <w:p w14:paraId="546267C9" w14:textId="0F9B2C66" w:rsidR="005739C6" w:rsidRPr="00FE2FBC" w:rsidRDefault="00FE2FBC" w:rsidP="00FE2FBC">
      <w:pPr>
        <w:pStyle w:val="NormalWeb"/>
        <w:spacing w:before="0" w:beforeAutospacing="0" w:after="0" w:afterAutospacing="0" w:line="360" w:lineRule="auto"/>
        <w:jc w:val="both"/>
        <w:rPr>
          <w:rFonts w:ascii="Arial" w:hAnsi="Arial" w:cs="Arial"/>
          <w:i/>
          <w:iCs/>
          <w:sz w:val="22"/>
          <w:szCs w:val="22"/>
        </w:rPr>
      </w:pPr>
      <w:r w:rsidRPr="00FE2FBC">
        <w:rPr>
          <w:rFonts w:ascii="Arial" w:hAnsi="Arial" w:cs="Arial"/>
          <w:i/>
          <w:iCs/>
          <w:sz w:val="22"/>
          <w:szCs w:val="22"/>
        </w:rPr>
        <w:t>Superintendencia De Seguridad Siniestral – Dirección De Bomberos</w:t>
      </w:r>
    </w:p>
    <w:p w14:paraId="3E7D1103" w14:textId="79523F3B" w:rsidR="005739C6" w:rsidRPr="00FE2FBC" w:rsidRDefault="005739C6" w:rsidP="00FE2FBC">
      <w:pPr>
        <w:spacing w:after="0" w:line="360" w:lineRule="auto"/>
        <w:jc w:val="both"/>
        <w:rPr>
          <w:rFonts w:ascii="Arial" w:hAnsi="Arial" w:cs="Arial"/>
          <w:b/>
          <w:u w:val="single"/>
        </w:rPr>
      </w:pPr>
      <w:r w:rsidRPr="00FE2FBC">
        <w:rPr>
          <w:rFonts w:ascii="Arial" w:hAnsi="Arial" w:cs="Arial"/>
          <w:b/>
          <w:u w:val="single"/>
        </w:rPr>
        <w:t xml:space="preserve">Nombre de la capacitación: </w:t>
      </w:r>
    </w:p>
    <w:p w14:paraId="65136EA6" w14:textId="113D2FEF" w:rsidR="005739C6" w:rsidRPr="00FE2FBC" w:rsidRDefault="00110D38" w:rsidP="00FE2FBC">
      <w:pPr>
        <w:pStyle w:val="Ttulo1"/>
        <w:spacing w:before="0" w:beforeAutospacing="0" w:after="0" w:afterAutospacing="0" w:line="360" w:lineRule="auto"/>
        <w:jc w:val="both"/>
        <w:rPr>
          <w:rFonts w:ascii="Arial" w:hAnsi="Arial" w:cs="Arial"/>
          <w:b w:val="0"/>
          <w:color w:val="000000"/>
          <w:sz w:val="22"/>
          <w:szCs w:val="22"/>
        </w:rPr>
      </w:pPr>
      <w:r w:rsidRPr="00FE2FBC">
        <w:rPr>
          <w:rFonts w:ascii="Arial" w:hAnsi="Arial" w:cs="Arial"/>
          <w:b w:val="0"/>
          <w:i/>
          <w:iCs/>
          <w:sz w:val="22"/>
          <w:szCs w:val="22"/>
        </w:rPr>
        <w:t>“</w:t>
      </w:r>
      <w:r w:rsidR="00547D36" w:rsidRPr="00FE2FBC">
        <w:rPr>
          <w:rFonts w:ascii="Arial" w:hAnsi="Arial" w:cs="Arial"/>
          <w:b w:val="0"/>
          <w:i/>
          <w:iCs/>
          <w:sz w:val="22"/>
          <w:szCs w:val="22"/>
        </w:rPr>
        <w:t>Curso de trauma y primeros auxilios</w:t>
      </w:r>
      <w:r w:rsidRPr="00FE2FBC">
        <w:rPr>
          <w:rFonts w:ascii="Arial" w:hAnsi="Arial" w:cs="Arial"/>
          <w:b w:val="0"/>
          <w:i/>
          <w:iCs/>
          <w:sz w:val="22"/>
          <w:szCs w:val="22"/>
        </w:rPr>
        <w:t>”</w:t>
      </w:r>
    </w:p>
    <w:p w14:paraId="1325AFA2" w14:textId="5292CEC6" w:rsidR="005739C6" w:rsidRPr="00FE2FBC" w:rsidRDefault="005739C6" w:rsidP="00FE2FBC">
      <w:pPr>
        <w:pStyle w:val="Ttulo1"/>
        <w:spacing w:before="0" w:beforeAutospacing="0" w:after="0" w:afterAutospacing="0" w:line="360" w:lineRule="auto"/>
        <w:jc w:val="both"/>
        <w:rPr>
          <w:rFonts w:ascii="Arial" w:hAnsi="Arial" w:cs="Arial"/>
          <w:sz w:val="22"/>
          <w:szCs w:val="22"/>
          <w:u w:val="single"/>
        </w:rPr>
      </w:pPr>
      <w:r w:rsidRPr="00FE2FBC">
        <w:rPr>
          <w:rFonts w:ascii="Arial" w:hAnsi="Arial" w:cs="Arial"/>
          <w:color w:val="000000"/>
          <w:sz w:val="22"/>
          <w:szCs w:val="22"/>
          <w:u w:val="single"/>
        </w:rPr>
        <w:t>Descripción:</w:t>
      </w:r>
    </w:p>
    <w:p w14:paraId="7E43CBA2" w14:textId="0B49B29A" w:rsidR="00547D36" w:rsidRPr="00FE2FBC" w:rsidRDefault="00547D36" w:rsidP="00FE2FBC">
      <w:pPr>
        <w:pStyle w:val="Ttulo1"/>
        <w:spacing w:before="0" w:beforeAutospacing="0" w:after="0" w:afterAutospacing="0" w:line="360" w:lineRule="auto"/>
        <w:jc w:val="both"/>
        <w:rPr>
          <w:rFonts w:ascii="Arial" w:hAnsi="Arial" w:cs="Arial"/>
          <w:b w:val="0"/>
          <w:bCs w:val="0"/>
          <w:i/>
          <w:iCs/>
          <w:color w:val="000000"/>
          <w:kern w:val="0"/>
          <w:sz w:val="22"/>
          <w:szCs w:val="22"/>
        </w:rPr>
      </w:pPr>
      <w:r w:rsidRPr="00FE2FBC">
        <w:rPr>
          <w:rFonts w:ascii="Arial" w:hAnsi="Arial" w:cs="Arial"/>
          <w:b w:val="0"/>
          <w:bCs w:val="0"/>
          <w:i/>
          <w:iCs/>
          <w:color w:val="000000"/>
          <w:kern w:val="0"/>
          <w:sz w:val="22"/>
          <w:szCs w:val="22"/>
        </w:rPr>
        <w:t xml:space="preserve">Las Direcciones que conforman dicha Superintendencia intervienen de manera directa y primaria en siniestros viales, incendios estructurales y forestales, colapsos, rescates, incidentes con materiales peligrosos y demás emergencias complejas, donde el abordaje inicial del paciente traumatizado constituye un factor determinante en la supervivencia y en la reducción de secuelas. En este contexto, la capacitación </w:t>
      </w:r>
      <w:proofErr w:type="gramStart"/>
      <w:r w:rsidRPr="00FE2FBC">
        <w:rPr>
          <w:rFonts w:ascii="Arial" w:hAnsi="Arial" w:cs="Arial"/>
          <w:b w:val="0"/>
          <w:bCs w:val="0"/>
          <w:i/>
          <w:iCs/>
          <w:color w:val="000000"/>
          <w:kern w:val="0"/>
          <w:sz w:val="22"/>
          <w:szCs w:val="22"/>
        </w:rPr>
        <w:t>continua</w:t>
      </w:r>
      <w:proofErr w:type="gramEnd"/>
      <w:r w:rsidRPr="00FE2FBC">
        <w:rPr>
          <w:rFonts w:ascii="Arial" w:hAnsi="Arial" w:cs="Arial"/>
          <w:b w:val="0"/>
          <w:bCs w:val="0"/>
          <w:i/>
          <w:iCs/>
          <w:color w:val="000000"/>
          <w:kern w:val="0"/>
          <w:sz w:val="22"/>
          <w:szCs w:val="22"/>
        </w:rPr>
        <w:t xml:space="preserve"> no solo fortalece competencias técnicas, sino que estandariza criterios de actuación bajo protocolos actualizados y basados en evidencia científica.</w:t>
      </w:r>
    </w:p>
    <w:p w14:paraId="24544363" w14:textId="75DDFF59" w:rsidR="00547D36" w:rsidRPr="00FE2FBC" w:rsidRDefault="00547D36" w:rsidP="00FE2FBC">
      <w:pPr>
        <w:pStyle w:val="Ttulo1"/>
        <w:spacing w:before="0" w:beforeAutospacing="0" w:after="0" w:afterAutospacing="0" w:line="360" w:lineRule="auto"/>
        <w:jc w:val="both"/>
        <w:rPr>
          <w:rFonts w:ascii="Arial" w:hAnsi="Arial" w:cs="Arial"/>
          <w:b w:val="0"/>
          <w:bCs w:val="0"/>
          <w:i/>
          <w:iCs/>
          <w:color w:val="000000"/>
          <w:kern w:val="0"/>
          <w:sz w:val="22"/>
          <w:szCs w:val="22"/>
        </w:rPr>
      </w:pPr>
      <w:r w:rsidRPr="00FE2FBC">
        <w:rPr>
          <w:rFonts w:ascii="Arial" w:hAnsi="Arial" w:cs="Arial"/>
          <w:b w:val="0"/>
          <w:bCs w:val="0"/>
          <w:i/>
          <w:iCs/>
          <w:color w:val="000000"/>
          <w:kern w:val="0"/>
          <w:sz w:val="22"/>
          <w:szCs w:val="22"/>
        </w:rPr>
        <w:t>El curso se orienta a consolidar y actualizar los conocimientos en evaluación primaria y secundaria del trauma, manejo inicial del paciente politraumatizado, control de hemorragias, inmovilización, manejo de la vía aérea básica y soporte vital básico (SVB), promoviendo intervenciones seguras, sistemáticas y ajustadas al tiempo operativo. La correcta aplicación de estos procedimientos exige toma de decisiones inmediatas, coordinadas y profesionales, en escenarios dinámicos donde la incertidumbre y la presión ambiental inciden directamente en la actuación del primer respondiente.</w:t>
      </w:r>
    </w:p>
    <w:p w14:paraId="4361BD3B" w14:textId="6983A3CD" w:rsidR="00547D36" w:rsidRPr="00FE2FBC" w:rsidRDefault="00547D36" w:rsidP="00FE2FBC">
      <w:pPr>
        <w:pStyle w:val="Ttulo1"/>
        <w:spacing w:before="0" w:beforeAutospacing="0" w:after="0" w:afterAutospacing="0" w:line="360" w:lineRule="auto"/>
        <w:jc w:val="both"/>
        <w:rPr>
          <w:rFonts w:ascii="Arial" w:hAnsi="Arial" w:cs="Arial"/>
          <w:b w:val="0"/>
          <w:bCs w:val="0"/>
          <w:i/>
          <w:iCs/>
          <w:color w:val="000000"/>
          <w:kern w:val="0"/>
          <w:sz w:val="22"/>
          <w:szCs w:val="22"/>
        </w:rPr>
      </w:pPr>
      <w:r w:rsidRPr="00FE2FBC">
        <w:rPr>
          <w:rFonts w:ascii="Arial" w:hAnsi="Arial" w:cs="Arial"/>
          <w:b w:val="0"/>
          <w:bCs w:val="0"/>
          <w:i/>
          <w:iCs/>
          <w:color w:val="000000"/>
          <w:kern w:val="0"/>
          <w:sz w:val="22"/>
          <w:szCs w:val="22"/>
        </w:rPr>
        <w:t xml:space="preserve">La importancia de esta formación radica en que, si bien muchas intervenciones comparten características operativas similares, cada evento presenta variables propias que requieren evaluación situacional, priorización de riesgos y adaptación táctica. </w:t>
      </w:r>
    </w:p>
    <w:p w14:paraId="17A55DA6" w14:textId="77777777" w:rsidR="00547D36" w:rsidRPr="00FE2FBC" w:rsidRDefault="00547D36" w:rsidP="00FE2FBC">
      <w:pPr>
        <w:pStyle w:val="Ttulo1"/>
        <w:spacing w:before="0" w:beforeAutospacing="0" w:after="0" w:afterAutospacing="0" w:line="360" w:lineRule="auto"/>
        <w:jc w:val="both"/>
        <w:rPr>
          <w:rFonts w:ascii="Arial" w:hAnsi="Arial" w:cs="Arial"/>
          <w:b w:val="0"/>
          <w:bCs w:val="0"/>
          <w:i/>
          <w:iCs/>
          <w:color w:val="000000"/>
          <w:kern w:val="0"/>
          <w:sz w:val="22"/>
          <w:szCs w:val="22"/>
        </w:rPr>
      </w:pPr>
      <w:r w:rsidRPr="00FE2FBC">
        <w:rPr>
          <w:rFonts w:ascii="Arial" w:hAnsi="Arial" w:cs="Arial"/>
          <w:b w:val="0"/>
          <w:bCs w:val="0"/>
          <w:i/>
          <w:iCs/>
          <w:color w:val="000000"/>
          <w:kern w:val="0"/>
          <w:sz w:val="22"/>
          <w:szCs w:val="22"/>
        </w:rPr>
        <w:t>Asimismo, la capacitación incorpora la actualización en maniobras de reanimación cardiopulmonar conforme a lineamientos vigentes, incluyendo el uso del Desfibrilador Externo Automático (DEA), en concordancia con lo establecido por la Ley Nº 27.159, que determina la obligatoriedad de disponer de dichos dispositivos en espacios públicos y privados de acceso público, así como la capacitación adecuada para su utilización. En este sentido, el entrenamiento en soporte vital básico y en el uso del DEA fortalece la cadena de supervivencia y optimiza la respuesta institucional ante eventos de paro cardiorrespiratorio.</w:t>
      </w:r>
    </w:p>
    <w:p w14:paraId="68601506" w14:textId="2E9BC997" w:rsidR="001577DE" w:rsidRPr="00FE2FBC" w:rsidRDefault="00547D36" w:rsidP="00FE2FBC">
      <w:pPr>
        <w:pStyle w:val="Ttulo1"/>
        <w:spacing w:before="0" w:beforeAutospacing="0" w:after="0" w:afterAutospacing="0" w:line="360" w:lineRule="auto"/>
        <w:jc w:val="both"/>
        <w:rPr>
          <w:rFonts w:ascii="Arial" w:hAnsi="Arial" w:cs="Arial"/>
          <w:b w:val="0"/>
          <w:bCs w:val="0"/>
          <w:i/>
          <w:iCs/>
          <w:color w:val="000000"/>
          <w:kern w:val="0"/>
          <w:sz w:val="22"/>
          <w:szCs w:val="22"/>
        </w:rPr>
      </w:pPr>
      <w:r w:rsidRPr="00FE2FBC">
        <w:rPr>
          <w:rFonts w:ascii="Arial" w:hAnsi="Arial" w:cs="Arial"/>
          <w:b w:val="0"/>
          <w:bCs w:val="0"/>
          <w:i/>
          <w:iCs/>
          <w:color w:val="000000"/>
          <w:kern w:val="0"/>
          <w:sz w:val="22"/>
          <w:szCs w:val="22"/>
        </w:rPr>
        <w:t>El  presente curso se constituye como una herramienta estratégica de formación continua, orientada a consolidar estándares de actuación profesional, reducir la morbimortalidad asociada a eventos traumáticos y garantizar intervenciones seguras, eficaces y acordes a la responsabilidad operativa que demanda la función policial en el ámbito de la Seguridad Siniestral.</w:t>
      </w:r>
    </w:p>
    <w:p w14:paraId="49F44E57" w14:textId="77777777" w:rsidR="00547D36" w:rsidRPr="00FE2FBC" w:rsidRDefault="00547D36" w:rsidP="00FE2FBC">
      <w:pPr>
        <w:pStyle w:val="Ttulo1"/>
        <w:spacing w:before="0" w:beforeAutospacing="0" w:after="0" w:afterAutospacing="0" w:line="360" w:lineRule="auto"/>
        <w:jc w:val="both"/>
        <w:rPr>
          <w:rFonts w:ascii="Arial" w:hAnsi="Arial" w:cs="Arial"/>
          <w:b w:val="0"/>
          <w:bCs w:val="0"/>
          <w:i/>
          <w:iCs/>
          <w:color w:val="000000"/>
          <w:kern w:val="0"/>
          <w:sz w:val="22"/>
          <w:szCs w:val="22"/>
        </w:rPr>
      </w:pPr>
    </w:p>
    <w:p w14:paraId="1C9A52EE" w14:textId="54435CDB" w:rsidR="005739C6" w:rsidRPr="00FE2FBC" w:rsidRDefault="005739C6" w:rsidP="00FE2FBC">
      <w:pPr>
        <w:pStyle w:val="Ttulo1"/>
        <w:spacing w:before="0" w:beforeAutospacing="0" w:after="0" w:afterAutospacing="0" w:line="360" w:lineRule="auto"/>
        <w:jc w:val="both"/>
        <w:rPr>
          <w:rFonts w:ascii="Arial" w:hAnsi="Arial" w:cs="Arial"/>
          <w:sz w:val="22"/>
          <w:szCs w:val="22"/>
          <w:u w:val="single"/>
        </w:rPr>
      </w:pPr>
      <w:r w:rsidRPr="00FE2FBC">
        <w:rPr>
          <w:rFonts w:ascii="Arial" w:hAnsi="Arial" w:cs="Arial"/>
          <w:color w:val="000000"/>
          <w:sz w:val="22"/>
          <w:szCs w:val="22"/>
          <w:u w:val="single"/>
        </w:rPr>
        <w:lastRenderedPageBreak/>
        <w:t>Destinatarios:</w:t>
      </w:r>
    </w:p>
    <w:p w14:paraId="676C3605" w14:textId="16709DE0" w:rsidR="005739C6" w:rsidRPr="00FE2FBC" w:rsidRDefault="00110D38" w:rsidP="00FE2FBC">
      <w:pPr>
        <w:spacing w:after="0" w:line="360" w:lineRule="auto"/>
        <w:jc w:val="both"/>
        <w:rPr>
          <w:rFonts w:ascii="Arial" w:hAnsi="Arial" w:cs="Arial"/>
          <w:i/>
          <w:iCs/>
        </w:rPr>
      </w:pPr>
      <w:r w:rsidRPr="00FE2FBC">
        <w:rPr>
          <w:rFonts w:ascii="Arial" w:eastAsia="Times New Roman" w:hAnsi="Arial" w:cs="Arial"/>
          <w:i/>
          <w:iCs/>
          <w:color w:val="000000"/>
          <w:lang w:eastAsia="es-AR"/>
        </w:rPr>
        <w:t>La propuesta estará dirigida a todo el personal de la Superintendencia de Seguridad Siniestral sin distinción de escalafones</w:t>
      </w:r>
    </w:p>
    <w:p w14:paraId="3D615B8C" w14:textId="00563BB3" w:rsidR="005739C6" w:rsidRPr="00FE2FBC" w:rsidRDefault="005739C6" w:rsidP="00FE2FBC">
      <w:pPr>
        <w:pStyle w:val="NormalWeb"/>
        <w:spacing w:before="0" w:beforeAutospacing="0" w:after="0" w:afterAutospacing="0" w:line="360" w:lineRule="auto"/>
        <w:jc w:val="both"/>
        <w:rPr>
          <w:rFonts w:ascii="Arial" w:hAnsi="Arial" w:cs="Arial"/>
          <w:color w:val="000000" w:themeColor="text1"/>
          <w:sz w:val="22"/>
          <w:szCs w:val="22"/>
          <w:u w:val="single"/>
        </w:rPr>
      </w:pPr>
      <w:r w:rsidRPr="00FE2FBC">
        <w:rPr>
          <w:rFonts w:ascii="Arial" w:hAnsi="Arial" w:cs="Arial"/>
          <w:b/>
          <w:bCs/>
          <w:color w:val="000000" w:themeColor="text1"/>
          <w:sz w:val="22"/>
          <w:szCs w:val="22"/>
          <w:u w:val="single"/>
        </w:rPr>
        <w:t xml:space="preserve">Modalidad: </w:t>
      </w:r>
      <w:bookmarkStart w:id="0" w:name="_GoBack"/>
      <w:bookmarkEnd w:id="0"/>
    </w:p>
    <w:p w14:paraId="5B01DBC1" w14:textId="43B997D1" w:rsidR="005739C6" w:rsidRPr="00FE2FBC" w:rsidRDefault="00A46225" w:rsidP="00FE2FBC">
      <w:pPr>
        <w:spacing w:after="0" w:line="360" w:lineRule="auto"/>
        <w:jc w:val="both"/>
        <w:rPr>
          <w:rFonts w:ascii="Arial" w:eastAsia="Times New Roman" w:hAnsi="Arial" w:cs="Arial"/>
          <w:i/>
          <w:iCs/>
          <w:color w:val="000000" w:themeColor="text1"/>
          <w:lang w:eastAsia="es-AR"/>
        </w:rPr>
      </w:pPr>
      <w:r w:rsidRPr="00FE2FBC">
        <w:rPr>
          <w:rFonts w:ascii="Arial" w:eastAsia="Times New Roman" w:hAnsi="Arial" w:cs="Arial"/>
          <w:i/>
          <w:iCs/>
          <w:color w:val="000000" w:themeColor="text1"/>
          <w:lang w:eastAsia="es-AR"/>
        </w:rPr>
        <w:t>Semi presencial</w:t>
      </w:r>
    </w:p>
    <w:p w14:paraId="71586968" w14:textId="073CECBE" w:rsidR="005739C6" w:rsidRPr="00FE2FBC" w:rsidRDefault="005739C6" w:rsidP="00FE2FBC">
      <w:pPr>
        <w:pStyle w:val="NormalWeb"/>
        <w:spacing w:before="0" w:beforeAutospacing="0" w:after="0" w:afterAutospacing="0" w:line="360" w:lineRule="auto"/>
        <w:jc w:val="both"/>
        <w:rPr>
          <w:rFonts w:ascii="Arial" w:hAnsi="Arial" w:cs="Arial"/>
          <w:color w:val="000000" w:themeColor="text1"/>
          <w:sz w:val="22"/>
          <w:szCs w:val="22"/>
          <w:u w:val="single"/>
        </w:rPr>
      </w:pPr>
      <w:r w:rsidRPr="00FE2FBC">
        <w:rPr>
          <w:rFonts w:ascii="Arial" w:hAnsi="Arial" w:cs="Arial"/>
          <w:b/>
          <w:bCs/>
          <w:color w:val="000000" w:themeColor="text1"/>
          <w:sz w:val="22"/>
          <w:szCs w:val="22"/>
          <w:u w:val="single"/>
        </w:rPr>
        <w:t xml:space="preserve">Carga horaria: </w:t>
      </w:r>
    </w:p>
    <w:p w14:paraId="67D0A301" w14:textId="09F0B40D" w:rsidR="005739C6" w:rsidRPr="00FE2FBC" w:rsidRDefault="00FE2FBC" w:rsidP="00FE2FBC">
      <w:pPr>
        <w:spacing w:after="0" w:line="360" w:lineRule="auto"/>
        <w:jc w:val="both"/>
        <w:rPr>
          <w:rFonts w:ascii="Arial" w:hAnsi="Arial" w:cs="Arial"/>
          <w:i/>
          <w:color w:val="000000" w:themeColor="text1"/>
        </w:rPr>
      </w:pPr>
      <w:r>
        <w:rPr>
          <w:rFonts w:ascii="Arial" w:hAnsi="Arial" w:cs="Arial"/>
          <w:bCs/>
          <w:i/>
          <w:color w:val="000000" w:themeColor="text1"/>
        </w:rPr>
        <w:t>40 Horas reloj.</w:t>
      </w:r>
    </w:p>
    <w:p w14:paraId="6DA641F2" w14:textId="77777777" w:rsidR="00A65C10" w:rsidRPr="00FE2FBC" w:rsidRDefault="005739C6" w:rsidP="00FE2FBC">
      <w:pPr>
        <w:pStyle w:val="Ttulo1"/>
        <w:spacing w:before="0" w:beforeAutospacing="0" w:after="0" w:afterAutospacing="0" w:line="360" w:lineRule="auto"/>
        <w:jc w:val="both"/>
        <w:rPr>
          <w:rFonts w:ascii="Arial" w:hAnsi="Arial" w:cs="Arial"/>
          <w:color w:val="000000" w:themeColor="text1"/>
          <w:sz w:val="22"/>
          <w:szCs w:val="22"/>
          <w:u w:val="single"/>
        </w:rPr>
      </w:pPr>
      <w:r w:rsidRPr="00FE2FBC">
        <w:rPr>
          <w:rFonts w:ascii="Arial" w:hAnsi="Arial" w:cs="Arial"/>
          <w:color w:val="000000" w:themeColor="text1"/>
          <w:sz w:val="22"/>
          <w:szCs w:val="22"/>
          <w:u w:val="single"/>
        </w:rPr>
        <w:t xml:space="preserve">Ediciones: </w:t>
      </w:r>
    </w:p>
    <w:p w14:paraId="5517F1F2" w14:textId="723A11AD" w:rsidR="00A46225" w:rsidRPr="00FE2FBC" w:rsidRDefault="00547D36" w:rsidP="00FE2FBC">
      <w:pPr>
        <w:pStyle w:val="NormalWeb"/>
        <w:spacing w:before="0" w:beforeAutospacing="0" w:after="0" w:afterAutospacing="0" w:line="360" w:lineRule="auto"/>
        <w:jc w:val="both"/>
        <w:rPr>
          <w:rFonts w:ascii="Arial" w:hAnsi="Arial" w:cs="Arial"/>
          <w:color w:val="000000" w:themeColor="text1"/>
          <w:sz w:val="22"/>
          <w:szCs w:val="22"/>
        </w:rPr>
      </w:pPr>
      <w:r w:rsidRPr="00FE2FBC">
        <w:rPr>
          <w:rFonts w:ascii="Arial" w:hAnsi="Arial" w:cs="Arial"/>
          <w:color w:val="000000" w:themeColor="text1"/>
          <w:sz w:val="22"/>
          <w:szCs w:val="22"/>
        </w:rPr>
        <w:t xml:space="preserve">Una </w:t>
      </w:r>
      <w:r w:rsidR="00A46225" w:rsidRPr="00FE2FBC">
        <w:rPr>
          <w:rFonts w:ascii="Arial" w:hAnsi="Arial" w:cs="Arial"/>
          <w:color w:val="000000" w:themeColor="text1"/>
          <w:sz w:val="22"/>
          <w:szCs w:val="22"/>
        </w:rPr>
        <w:t>(0</w:t>
      </w:r>
      <w:r w:rsidRPr="00FE2FBC">
        <w:rPr>
          <w:rFonts w:ascii="Arial" w:hAnsi="Arial" w:cs="Arial"/>
          <w:color w:val="000000" w:themeColor="text1"/>
          <w:sz w:val="22"/>
          <w:szCs w:val="22"/>
        </w:rPr>
        <w:t>1</w:t>
      </w:r>
      <w:r w:rsidR="00A46225" w:rsidRPr="00FE2FBC">
        <w:rPr>
          <w:rFonts w:ascii="Arial" w:hAnsi="Arial" w:cs="Arial"/>
          <w:color w:val="000000" w:themeColor="text1"/>
          <w:sz w:val="22"/>
          <w:szCs w:val="22"/>
        </w:rPr>
        <w:t>)</w:t>
      </w:r>
      <w:r w:rsidR="00FE2FBC">
        <w:rPr>
          <w:rFonts w:ascii="Arial" w:hAnsi="Arial" w:cs="Arial"/>
          <w:color w:val="000000" w:themeColor="text1"/>
          <w:sz w:val="22"/>
          <w:szCs w:val="22"/>
        </w:rPr>
        <w:t xml:space="preserve"> edición.</w:t>
      </w:r>
    </w:p>
    <w:p w14:paraId="4C89C929" w14:textId="1DA16E7A" w:rsidR="005739C6" w:rsidRPr="00FE2FBC" w:rsidRDefault="005739C6" w:rsidP="00FE2FBC">
      <w:pPr>
        <w:pStyle w:val="NormalWeb"/>
        <w:spacing w:before="0" w:beforeAutospacing="0" w:after="0" w:afterAutospacing="0" w:line="360" w:lineRule="auto"/>
        <w:jc w:val="both"/>
        <w:rPr>
          <w:rFonts w:ascii="Arial" w:hAnsi="Arial" w:cs="Arial"/>
          <w:b/>
          <w:color w:val="000000" w:themeColor="text1"/>
          <w:sz w:val="22"/>
          <w:szCs w:val="22"/>
          <w:u w:val="single"/>
        </w:rPr>
      </w:pPr>
      <w:r w:rsidRPr="00FE2FBC">
        <w:rPr>
          <w:rFonts w:ascii="Arial" w:hAnsi="Arial" w:cs="Arial"/>
          <w:b/>
          <w:bCs/>
          <w:color w:val="000000" w:themeColor="text1"/>
          <w:sz w:val="22"/>
          <w:szCs w:val="22"/>
          <w:u w:val="single"/>
        </w:rPr>
        <w:t xml:space="preserve">Fecha de inicio y finalización: </w:t>
      </w:r>
    </w:p>
    <w:p w14:paraId="05A699A2" w14:textId="558DA0EC" w:rsidR="00A46225" w:rsidRPr="00FE2FBC" w:rsidRDefault="00E64DB9" w:rsidP="00FE2FBC">
      <w:pPr>
        <w:pStyle w:val="NormalWeb"/>
        <w:spacing w:before="0" w:beforeAutospacing="0" w:after="0" w:afterAutospacing="0" w:line="360" w:lineRule="auto"/>
        <w:jc w:val="both"/>
        <w:rPr>
          <w:rFonts w:ascii="Arial" w:hAnsi="Arial" w:cs="Arial"/>
          <w:bCs/>
          <w:i/>
          <w:iCs/>
          <w:color w:val="000000" w:themeColor="text1"/>
          <w:sz w:val="22"/>
          <w:szCs w:val="22"/>
        </w:rPr>
      </w:pPr>
      <w:r w:rsidRPr="00FE2FBC">
        <w:rPr>
          <w:rFonts w:ascii="Arial" w:hAnsi="Arial" w:cs="Arial"/>
          <w:bCs/>
          <w:i/>
          <w:iCs/>
          <w:color w:val="000000" w:themeColor="text1"/>
          <w:sz w:val="22"/>
          <w:szCs w:val="22"/>
        </w:rPr>
        <w:t>Agosto</w:t>
      </w:r>
    </w:p>
    <w:p w14:paraId="38C44AF6" w14:textId="4DDCEC49" w:rsidR="00A65C10" w:rsidRPr="00FE2FBC" w:rsidRDefault="005739C6" w:rsidP="00FE2FBC">
      <w:pPr>
        <w:pStyle w:val="NormalWeb"/>
        <w:spacing w:before="0" w:beforeAutospacing="0" w:after="0" w:afterAutospacing="0" w:line="360" w:lineRule="auto"/>
        <w:jc w:val="both"/>
        <w:rPr>
          <w:rFonts w:ascii="Arial" w:hAnsi="Arial" w:cs="Arial"/>
          <w:b/>
          <w:bCs/>
          <w:color w:val="000000" w:themeColor="text1"/>
          <w:sz w:val="22"/>
          <w:szCs w:val="22"/>
          <w:u w:val="single"/>
        </w:rPr>
      </w:pPr>
      <w:r w:rsidRPr="00FE2FBC">
        <w:rPr>
          <w:rFonts w:ascii="Arial" w:hAnsi="Arial" w:cs="Arial"/>
          <w:b/>
          <w:bCs/>
          <w:color w:val="000000" w:themeColor="text1"/>
          <w:sz w:val="22"/>
          <w:szCs w:val="22"/>
          <w:u w:val="single"/>
        </w:rPr>
        <w:t xml:space="preserve">Cupo: </w:t>
      </w:r>
    </w:p>
    <w:p w14:paraId="3CFA44EE" w14:textId="15F935D7" w:rsidR="00A65C10" w:rsidRPr="00FE2FBC" w:rsidRDefault="00110D38" w:rsidP="00FE2FBC">
      <w:pPr>
        <w:pStyle w:val="NormalWeb"/>
        <w:spacing w:before="0" w:beforeAutospacing="0" w:after="0" w:afterAutospacing="0" w:line="360" w:lineRule="auto"/>
        <w:jc w:val="both"/>
        <w:rPr>
          <w:rFonts w:ascii="Arial" w:hAnsi="Arial" w:cs="Arial"/>
          <w:i/>
          <w:iCs/>
          <w:color w:val="000000" w:themeColor="text1"/>
          <w:sz w:val="22"/>
          <w:szCs w:val="22"/>
        </w:rPr>
      </w:pPr>
      <w:r w:rsidRPr="00FE2FBC">
        <w:rPr>
          <w:rFonts w:ascii="Arial" w:hAnsi="Arial" w:cs="Arial"/>
          <w:bCs/>
          <w:i/>
          <w:iCs/>
          <w:color w:val="000000" w:themeColor="text1"/>
          <w:sz w:val="22"/>
          <w:szCs w:val="22"/>
        </w:rPr>
        <w:t xml:space="preserve">Máximo por edición </w:t>
      </w:r>
      <w:r w:rsidR="00AA15C3" w:rsidRPr="00FE2FBC">
        <w:rPr>
          <w:rFonts w:ascii="Arial" w:hAnsi="Arial" w:cs="Arial"/>
          <w:bCs/>
          <w:i/>
          <w:iCs/>
          <w:color w:val="000000" w:themeColor="text1"/>
          <w:sz w:val="22"/>
          <w:szCs w:val="22"/>
        </w:rPr>
        <w:t>30</w:t>
      </w:r>
      <w:r w:rsidRPr="00FE2FBC">
        <w:rPr>
          <w:rFonts w:ascii="Arial" w:hAnsi="Arial" w:cs="Arial"/>
          <w:bCs/>
          <w:i/>
          <w:iCs/>
          <w:color w:val="000000" w:themeColor="text1"/>
          <w:sz w:val="22"/>
          <w:szCs w:val="22"/>
        </w:rPr>
        <w:t xml:space="preserve"> efectivos</w:t>
      </w:r>
    </w:p>
    <w:p w14:paraId="6350AFD8" w14:textId="49EBC281" w:rsidR="005739C6" w:rsidRPr="00FE2FBC" w:rsidRDefault="005739C6" w:rsidP="00FE2FBC">
      <w:pPr>
        <w:pStyle w:val="Ttulo1"/>
        <w:spacing w:before="0" w:beforeAutospacing="0" w:after="0" w:afterAutospacing="0" w:line="360" w:lineRule="auto"/>
        <w:jc w:val="both"/>
        <w:rPr>
          <w:rFonts w:ascii="Arial" w:hAnsi="Arial" w:cs="Arial"/>
          <w:color w:val="000000"/>
          <w:sz w:val="22"/>
          <w:szCs w:val="22"/>
        </w:rPr>
      </w:pPr>
      <w:r w:rsidRPr="00FE2FBC">
        <w:rPr>
          <w:rFonts w:ascii="Arial" w:hAnsi="Arial" w:cs="Arial"/>
          <w:color w:val="000000"/>
          <w:sz w:val="22"/>
          <w:szCs w:val="22"/>
          <w:u w:val="single"/>
        </w:rPr>
        <w:t>Medio de contacto</w:t>
      </w:r>
      <w:r w:rsidRPr="00FE2FBC">
        <w:rPr>
          <w:rFonts w:ascii="Arial" w:hAnsi="Arial" w:cs="Arial"/>
          <w:color w:val="000000"/>
          <w:sz w:val="22"/>
          <w:szCs w:val="22"/>
        </w:rPr>
        <w:t>:</w:t>
      </w:r>
    </w:p>
    <w:p w14:paraId="7491B7D6" w14:textId="269D3BF9" w:rsidR="00A65C10" w:rsidRPr="00FE2FBC" w:rsidRDefault="006B2417" w:rsidP="00FE2FBC">
      <w:pPr>
        <w:pStyle w:val="Ttulo1"/>
        <w:spacing w:before="0" w:beforeAutospacing="0" w:after="0" w:afterAutospacing="0" w:line="360" w:lineRule="auto"/>
        <w:jc w:val="both"/>
        <w:rPr>
          <w:rFonts w:ascii="Arial" w:hAnsi="Arial" w:cs="Arial"/>
          <w:sz w:val="22"/>
          <w:szCs w:val="22"/>
        </w:rPr>
      </w:pPr>
      <w:r w:rsidRPr="00FE2FBC">
        <w:rPr>
          <w:rFonts w:ascii="Arial" w:hAnsi="Arial" w:cs="Arial"/>
          <w:b w:val="0"/>
          <w:bCs w:val="0"/>
          <w:i/>
          <w:iCs/>
          <w:sz w:val="22"/>
          <w:szCs w:val="22"/>
        </w:rPr>
        <w:t>(0221)</w:t>
      </w:r>
      <w:r w:rsidR="004735F1" w:rsidRPr="00FE2FBC">
        <w:rPr>
          <w:rFonts w:ascii="Arial" w:hAnsi="Arial" w:cs="Arial"/>
          <w:b w:val="0"/>
          <w:bCs w:val="0"/>
          <w:i/>
          <w:iCs/>
          <w:sz w:val="22"/>
          <w:szCs w:val="22"/>
        </w:rPr>
        <w:t>425</w:t>
      </w:r>
      <w:r w:rsidR="00FE2FBC">
        <w:rPr>
          <w:rFonts w:ascii="Arial" w:hAnsi="Arial" w:cs="Arial"/>
          <w:b w:val="0"/>
          <w:bCs w:val="0"/>
          <w:i/>
          <w:iCs/>
          <w:sz w:val="22"/>
          <w:szCs w:val="22"/>
        </w:rPr>
        <w:t>-</w:t>
      </w:r>
      <w:r w:rsidR="004735F1" w:rsidRPr="00FE2FBC">
        <w:rPr>
          <w:rFonts w:ascii="Arial" w:hAnsi="Arial" w:cs="Arial"/>
          <w:b w:val="0"/>
          <w:bCs w:val="0"/>
          <w:i/>
          <w:iCs/>
          <w:sz w:val="22"/>
          <w:szCs w:val="22"/>
        </w:rPr>
        <w:t>9234</w:t>
      </w:r>
      <w:r w:rsidR="00A65C10" w:rsidRPr="00FE2FBC">
        <w:rPr>
          <w:rFonts w:ascii="Arial" w:hAnsi="Arial" w:cs="Arial"/>
          <w:i/>
          <w:iCs/>
          <w:color w:val="000000"/>
          <w:sz w:val="22"/>
          <w:szCs w:val="22"/>
        </w:rPr>
        <w:t xml:space="preserve"> </w:t>
      </w:r>
    </w:p>
    <w:sectPr w:rsidR="00A65C10" w:rsidRPr="00FE2F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577DE"/>
    <w:rsid w:val="001B79CA"/>
    <w:rsid w:val="001C3661"/>
    <w:rsid w:val="002A345D"/>
    <w:rsid w:val="002A6D49"/>
    <w:rsid w:val="00375F6D"/>
    <w:rsid w:val="003E13E1"/>
    <w:rsid w:val="00463116"/>
    <w:rsid w:val="0047121D"/>
    <w:rsid w:val="004735F1"/>
    <w:rsid w:val="00500BDE"/>
    <w:rsid w:val="00504156"/>
    <w:rsid w:val="00547D36"/>
    <w:rsid w:val="00557025"/>
    <w:rsid w:val="005739C6"/>
    <w:rsid w:val="006B2417"/>
    <w:rsid w:val="007550F5"/>
    <w:rsid w:val="007A473E"/>
    <w:rsid w:val="00836055"/>
    <w:rsid w:val="008C5394"/>
    <w:rsid w:val="00944D2D"/>
    <w:rsid w:val="009A0E3B"/>
    <w:rsid w:val="00A114F2"/>
    <w:rsid w:val="00A46225"/>
    <w:rsid w:val="00A65C10"/>
    <w:rsid w:val="00AA15C3"/>
    <w:rsid w:val="00C05334"/>
    <w:rsid w:val="00D40B64"/>
    <w:rsid w:val="00E64DB9"/>
    <w:rsid w:val="00F048BC"/>
    <w:rsid w:val="00F36A06"/>
    <w:rsid w:val="00F72143"/>
    <w:rsid w:val="00FB617B"/>
    <w:rsid w:val="00FE2FBC"/>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7</cp:revision>
  <dcterms:created xsi:type="dcterms:W3CDTF">2026-02-17T14:38:00Z</dcterms:created>
  <dcterms:modified xsi:type="dcterms:W3CDTF">2026-02-25T12:18:00Z</dcterms:modified>
</cp:coreProperties>
</file>